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5BD8" w:rsidRPr="001D5BD8" w:rsidRDefault="001D5BD8" w:rsidP="001D5BD8">
      <w:pPr>
        <w:spacing w:line="480" w:lineRule="auto"/>
        <w:ind w:firstLine="720"/>
        <w:rPr>
          <w:rFonts w:ascii="Times New Roman" w:hAnsi="Times New Roman" w:cs="Times New Roman"/>
          <w:sz w:val="24"/>
          <w:szCs w:val="24"/>
        </w:rPr>
      </w:pPr>
      <w:r w:rsidRPr="001D5BD8">
        <w:rPr>
          <w:rFonts w:ascii="Times New Roman" w:hAnsi="Times New Roman" w:cs="Times New Roman"/>
          <w:sz w:val="24"/>
          <w:szCs w:val="24"/>
        </w:rPr>
        <w:t>The attitude towards service, product or a brand is referred to as customer satisfaction and is measured on a numerical scale. On the other hand, customer loyalty is making repeat purchases by customers rather than choosing other competitors. Customer satisfaction and loyalty are similar in that they are incorporated in enhancing the attainment of long term goals in healthcare as healthcare facilities gather instincts to make customers happy and satisfied. On the other hand, when it comes to differences, customer loyalty focuses on customer behaviour and attitudes prediction while customer satisfaction aims at measuring current customers’ attitudes.  To move customers from being satisfied to being loyal, health systems should use the right communication and rewards to attract more through effective and affordable and services. (Berkowitz, 2001)</w:t>
      </w:r>
    </w:p>
    <w:p w:rsidR="001D5BD8" w:rsidRPr="001D5BD8" w:rsidRDefault="001D5BD8" w:rsidP="001D5BD8">
      <w:pPr>
        <w:spacing w:line="480" w:lineRule="auto"/>
        <w:rPr>
          <w:rFonts w:ascii="Times New Roman" w:hAnsi="Times New Roman" w:cs="Times New Roman"/>
          <w:sz w:val="24"/>
          <w:szCs w:val="24"/>
        </w:rPr>
      </w:pPr>
    </w:p>
    <w:p w:rsidR="001D5BD8" w:rsidRPr="001D5BD8" w:rsidRDefault="001D5BD8" w:rsidP="001D5BD8">
      <w:pPr>
        <w:spacing w:line="480" w:lineRule="auto"/>
        <w:rPr>
          <w:rFonts w:ascii="Times New Roman" w:hAnsi="Times New Roman" w:cs="Times New Roman"/>
          <w:sz w:val="24"/>
          <w:szCs w:val="24"/>
        </w:rPr>
      </w:pPr>
    </w:p>
    <w:p w:rsidR="001D5BD8" w:rsidRPr="001D5BD8" w:rsidRDefault="001D5BD8" w:rsidP="001D5BD8">
      <w:pPr>
        <w:spacing w:line="480" w:lineRule="auto"/>
        <w:rPr>
          <w:rFonts w:ascii="Times New Roman" w:hAnsi="Times New Roman" w:cs="Times New Roman"/>
          <w:sz w:val="24"/>
          <w:szCs w:val="24"/>
        </w:rPr>
      </w:pPr>
    </w:p>
    <w:p w:rsidR="001D5BD8" w:rsidRPr="001D5BD8" w:rsidRDefault="001D5BD8" w:rsidP="001D5BD8">
      <w:pPr>
        <w:spacing w:line="480" w:lineRule="auto"/>
        <w:rPr>
          <w:rFonts w:ascii="Times New Roman" w:hAnsi="Times New Roman" w:cs="Times New Roman"/>
          <w:sz w:val="24"/>
          <w:szCs w:val="24"/>
        </w:rPr>
      </w:pPr>
    </w:p>
    <w:p w:rsidR="001D5BD8" w:rsidRPr="001D5BD8" w:rsidRDefault="001D5BD8" w:rsidP="001D5BD8">
      <w:pPr>
        <w:spacing w:line="480" w:lineRule="auto"/>
        <w:rPr>
          <w:rFonts w:ascii="Times New Roman" w:hAnsi="Times New Roman" w:cs="Times New Roman"/>
          <w:sz w:val="24"/>
          <w:szCs w:val="24"/>
        </w:rPr>
      </w:pPr>
    </w:p>
    <w:p w:rsidR="001D5BD8" w:rsidRPr="001D5BD8" w:rsidRDefault="001D5BD8" w:rsidP="001D5BD8">
      <w:pPr>
        <w:spacing w:line="480" w:lineRule="auto"/>
        <w:rPr>
          <w:rFonts w:ascii="Times New Roman" w:hAnsi="Times New Roman" w:cs="Times New Roman"/>
          <w:sz w:val="24"/>
          <w:szCs w:val="24"/>
        </w:rPr>
      </w:pPr>
    </w:p>
    <w:p w:rsidR="001D5BD8" w:rsidRPr="001D5BD8" w:rsidRDefault="001D5BD8" w:rsidP="001D5BD8">
      <w:pPr>
        <w:spacing w:line="480" w:lineRule="auto"/>
        <w:rPr>
          <w:rFonts w:ascii="Times New Roman" w:hAnsi="Times New Roman" w:cs="Times New Roman"/>
          <w:sz w:val="24"/>
          <w:szCs w:val="24"/>
        </w:rPr>
      </w:pPr>
    </w:p>
    <w:p w:rsidR="001D5BD8" w:rsidRPr="001D5BD8" w:rsidRDefault="001D5BD8" w:rsidP="001D5BD8">
      <w:pPr>
        <w:spacing w:line="480" w:lineRule="auto"/>
        <w:rPr>
          <w:rFonts w:ascii="Times New Roman" w:hAnsi="Times New Roman" w:cs="Times New Roman"/>
          <w:sz w:val="24"/>
          <w:szCs w:val="24"/>
        </w:rPr>
      </w:pPr>
    </w:p>
    <w:p w:rsidR="001D5BD8" w:rsidRPr="001D5BD8" w:rsidRDefault="001D5BD8" w:rsidP="001D5BD8">
      <w:pPr>
        <w:spacing w:line="480" w:lineRule="auto"/>
        <w:rPr>
          <w:rFonts w:ascii="Times New Roman" w:hAnsi="Times New Roman" w:cs="Times New Roman"/>
          <w:sz w:val="24"/>
          <w:szCs w:val="24"/>
        </w:rPr>
      </w:pPr>
    </w:p>
    <w:p w:rsidR="001D5BD8" w:rsidRPr="001D5BD8" w:rsidRDefault="001D5BD8" w:rsidP="001D5BD8">
      <w:pPr>
        <w:spacing w:line="480" w:lineRule="auto"/>
        <w:rPr>
          <w:rFonts w:ascii="Times New Roman" w:hAnsi="Times New Roman" w:cs="Times New Roman"/>
          <w:sz w:val="24"/>
          <w:szCs w:val="24"/>
        </w:rPr>
      </w:pPr>
    </w:p>
    <w:p w:rsidR="001D5BD8" w:rsidRPr="001D5BD8" w:rsidRDefault="001D5BD8" w:rsidP="001D5BD8">
      <w:pPr>
        <w:spacing w:line="480" w:lineRule="auto"/>
        <w:rPr>
          <w:rFonts w:ascii="Times New Roman" w:hAnsi="Times New Roman" w:cs="Times New Roman"/>
          <w:sz w:val="24"/>
          <w:szCs w:val="24"/>
        </w:rPr>
      </w:pPr>
    </w:p>
    <w:p w:rsidR="001D5BD8" w:rsidRPr="001D5BD8" w:rsidRDefault="001D5BD8" w:rsidP="001D5BD8">
      <w:pPr>
        <w:spacing w:line="480" w:lineRule="auto"/>
        <w:rPr>
          <w:rFonts w:ascii="Times New Roman" w:hAnsi="Times New Roman" w:cs="Times New Roman"/>
          <w:sz w:val="24"/>
          <w:szCs w:val="24"/>
        </w:rPr>
      </w:pPr>
    </w:p>
    <w:p w:rsidR="001D5BD8" w:rsidRPr="001D5BD8" w:rsidRDefault="001D5BD8" w:rsidP="001D5BD8">
      <w:pPr>
        <w:spacing w:line="480" w:lineRule="auto"/>
        <w:jc w:val="center"/>
        <w:rPr>
          <w:rFonts w:ascii="Times New Roman" w:hAnsi="Times New Roman" w:cs="Times New Roman"/>
          <w:sz w:val="24"/>
          <w:szCs w:val="24"/>
        </w:rPr>
      </w:pPr>
      <w:r w:rsidRPr="001D5BD8">
        <w:rPr>
          <w:rFonts w:ascii="Times New Roman" w:hAnsi="Times New Roman" w:cs="Times New Roman"/>
          <w:sz w:val="24"/>
          <w:szCs w:val="24"/>
        </w:rPr>
        <w:lastRenderedPageBreak/>
        <w:t>References</w:t>
      </w:r>
    </w:p>
    <w:p w:rsidR="001D5BD8" w:rsidRPr="001D5BD8" w:rsidRDefault="001D5BD8" w:rsidP="001D5BD8">
      <w:pPr>
        <w:spacing w:line="480" w:lineRule="auto"/>
        <w:rPr>
          <w:rFonts w:ascii="Times New Roman" w:hAnsi="Times New Roman" w:cs="Times New Roman"/>
          <w:sz w:val="24"/>
          <w:szCs w:val="24"/>
        </w:rPr>
      </w:pPr>
      <w:r w:rsidRPr="001D5BD8">
        <w:rPr>
          <w:rFonts w:ascii="Times New Roman" w:eastAsia="Arial Unicode MS" w:hAnsi="Times New Roman" w:cs="Times New Roman"/>
          <w:color w:val="000000"/>
          <w:sz w:val="24"/>
          <w:szCs w:val="24"/>
          <w:shd w:val="clear" w:color="auto" w:fill="FFFFFF"/>
        </w:rPr>
        <w:t>Berkowitz, E. N. (2011). </w:t>
      </w:r>
      <w:r w:rsidRPr="001D5BD8">
        <w:rPr>
          <w:rFonts w:ascii="Times New Roman" w:eastAsia="Arial Unicode MS" w:hAnsi="Times New Roman" w:cs="Times New Roman"/>
          <w:i/>
          <w:iCs/>
          <w:color w:val="000000"/>
          <w:sz w:val="24"/>
          <w:szCs w:val="24"/>
          <w:shd w:val="clear" w:color="auto" w:fill="FFFFFF"/>
        </w:rPr>
        <w:t>Essentials of health care marketing</w:t>
      </w:r>
      <w:r w:rsidRPr="001D5BD8">
        <w:rPr>
          <w:rFonts w:ascii="Times New Roman" w:eastAsia="Arial Unicode MS" w:hAnsi="Times New Roman" w:cs="Times New Roman"/>
          <w:color w:val="000000"/>
          <w:sz w:val="24"/>
          <w:szCs w:val="24"/>
          <w:shd w:val="clear" w:color="auto" w:fill="FFFFFF"/>
        </w:rPr>
        <w:t>. Sudbury, MA: Jones &amp; Bartlett Learning.</w:t>
      </w:r>
    </w:p>
    <w:sectPr w:rsidR="001D5BD8" w:rsidRPr="001D5BD8" w:rsidSect="000B7F2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60905"/>
    <w:rsid w:val="000B7F29"/>
    <w:rsid w:val="001D5BD8"/>
    <w:rsid w:val="00960905"/>
    <w:rsid w:val="00A9778B"/>
    <w:rsid w:val="00D910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F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146</Words>
  <Characters>836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2020-04-22T11:36:00Z</dcterms:created>
  <dcterms:modified xsi:type="dcterms:W3CDTF">2020-04-22T11:36:00Z</dcterms:modified>
</cp:coreProperties>
</file>